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Göhre Gesamtsanierung: Objektplanung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26/B/Wi/410101-11/01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Objektplanung nach Teil 3 HOAI, Abschnitt 1, Gebäude und Innenräume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